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января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 xml:space="preserve">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95</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Гребеля</w:t>
      </w:r>
      <w:r>
        <w:rPr>
          <w:rFonts w:ascii="Times New Roman" w:eastAsia="Times New Roman" w:hAnsi="Times New Roman" w:cs="Times New Roman"/>
          <w:b/>
          <w:bCs/>
          <w:sz w:val="26"/>
          <w:szCs w:val="26"/>
        </w:rPr>
        <w:t xml:space="preserve"> Андрея Петровича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29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работающего,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31.10.2023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11 час. 27</w:t>
      </w:r>
      <w:r>
        <w:rPr>
          <w:rFonts w:ascii="Times New Roman" w:eastAsia="Times New Roman" w:hAnsi="Times New Roman" w:cs="Times New Roman"/>
          <w:sz w:val="26"/>
          <w:szCs w:val="26"/>
        </w:rPr>
        <w:t xml:space="preserve"> мин., управляя автомобилем марки </w:t>
      </w:r>
      <w:r>
        <w:rPr>
          <w:rStyle w:val="cat-UserDefinedgrp-30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 xml:space="preserve">Р-404 </w:t>
      </w:r>
      <w:r>
        <w:rPr>
          <w:rFonts w:ascii="Times New Roman" w:eastAsia="Times New Roman" w:hAnsi="Times New Roman" w:cs="Times New Roman"/>
          <w:sz w:val="26"/>
          <w:szCs w:val="26"/>
        </w:rPr>
        <w:t>Тюмень-</w:t>
      </w:r>
      <w:r>
        <w:rPr>
          <w:rFonts w:ascii="Times New Roman" w:eastAsia="Times New Roman" w:hAnsi="Times New Roman" w:cs="Times New Roman"/>
          <w:sz w:val="26"/>
          <w:szCs w:val="26"/>
        </w:rPr>
        <w:t>Тобольск-</w:t>
      </w:r>
      <w:r>
        <w:rPr>
          <w:rFonts w:ascii="Times New Roman" w:eastAsia="Times New Roman" w:hAnsi="Times New Roman" w:cs="Times New Roman"/>
          <w:sz w:val="26"/>
          <w:szCs w:val="26"/>
        </w:rPr>
        <w:t>Ханты-Мансийск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752</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Нефтеюганском районе</w:t>
      </w:r>
      <w:r>
        <w:rPr>
          <w:rFonts w:ascii="Times New Roman" w:eastAsia="Times New Roman" w:hAnsi="Times New Roman" w:cs="Times New Roman"/>
          <w:sz w:val="26"/>
          <w:szCs w:val="26"/>
        </w:rPr>
        <w:t xml:space="preserve"> Тюменской области, </w:t>
      </w:r>
      <w:r>
        <w:rPr>
          <w:rFonts w:ascii="Times New Roman" w:eastAsia="Times New Roman" w:hAnsi="Times New Roman" w:cs="Times New Roman"/>
          <w:sz w:val="26"/>
          <w:szCs w:val="26"/>
        </w:rPr>
        <w:t>совершил обгон транспортных средств, двигавшихся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в зоне действия сплошной линии разметки 1.1, разделяющей транспортные потоки встречного направления, </w:t>
      </w:r>
      <w:r>
        <w:rPr>
          <w:rFonts w:ascii="Times New Roman" w:eastAsia="Times New Roman" w:hAnsi="Times New Roman" w:cs="Times New Roman"/>
          <w:sz w:val="26"/>
          <w:szCs w:val="26"/>
        </w:rPr>
        <w:t xml:space="preserve">а также в зоне действия дорожного знака 3.20 «Обгон запрещен»,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9.1.1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вину в совершении правонарушения не отрицал, пояснил, что в указанные в протоколе об административном правонарушении дату и время двигался по дороге Р-404 со стороны </w:t>
      </w:r>
      <w:r>
        <w:rPr>
          <w:rFonts w:ascii="Times New Roman" w:eastAsia="Times New Roman" w:hAnsi="Times New Roman" w:cs="Times New Roman"/>
          <w:sz w:val="26"/>
          <w:szCs w:val="26"/>
        </w:rPr>
        <w:t>г.Нефтеюганска</w:t>
      </w:r>
      <w:r>
        <w:rPr>
          <w:rFonts w:ascii="Times New Roman" w:eastAsia="Times New Roman" w:hAnsi="Times New Roman" w:cs="Times New Roman"/>
          <w:sz w:val="26"/>
          <w:szCs w:val="26"/>
        </w:rPr>
        <w:t xml:space="preserve"> в сторону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При совершении обгона двух транспортных средств, не заметил дорожного знака и дорожной разметки.</w:t>
      </w:r>
    </w:p>
    <w:p>
      <w:pPr>
        <w:spacing w:before="0" w:after="0"/>
        <w:ind w:firstLine="708"/>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Гребеня</w:t>
      </w:r>
      <w:r>
        <w:rPr>
          <w:rFonts w:ascii="Times New Roman" w:eastAsia="Times New Roman" w:hAnsi="Times New Roman" w:cs="Times New Roman"/>
          <w:sz w:val="26"/>
          <w:szCs w:val="26"/>
        </w:rPr>
        <w:t xml:space="preserve"> А.П., 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8"/>
        <w:jc w:val="both"/>
        <w:rPr>
          <w:sz w:val="26"/>
          <w:szCs w:val="26"/>
        </w:rPr>
      </w:pPr>
      <w:r>
        <w:rPr>
          <w:rFonts w:ascii="Times New Roman" w:eastAsia="Times New Roman" w:hAnsi="Times New Roman" w:cs="Times New Roman"/>
          <w:sz w:val="26"/>
          <w:szCs w:val="26"/>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6"/>
          <w:szCs w:val="26"/>
        </w:rPr>
        <w:t> </w:t>
      </w:r>
      <w:hyperlink r:id="rId5" w:anchor="/document/1305770/entry/2011" w:history="1">
        <w:r>
          <w:rPr>
            <w:rFonts w:ascii="Times New Roman" w:eastAsia="Times New Roman" w:hAnsi="Times New Roman" w:cs="Times New Roman"/>
            <w:color w:val="0000EE"/>
            <w:sz w:val="26"/>
            <w:szCs w:val="26"/>
          </w:rPr>
          <w:t>разметкой 1.1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305770/entry/2013" w:history="1">
        <w:r>
          <w:rPr>
            <w:rFonts w:ascii="Times New Roman" w:eastAsia="Times New Roman" w:hAnsi="Times New Roman" w:cs="Times New Roman"/>
            <w:color w:val="0000EE"/>
            <w:sz w:val="26"/>
            <w:szCs w:val="26"/>
          </w:rPr>
          <w:t>1.3</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или</w:t>
      </w:r>
      <w:r>
        <w:rPr>
          <w:rFonts w:ascii="Times New Roman" w:eastAsia="Times New Roman" w:hAnsi="Times New Roman" w:cs="Times New Roman"/>
          <w:sz w:val="26"/>
          <w:szCs w:val="26"/>
        </w:rPr>
        <w:t> </w:t>
      </w:r>
      <w:hyperlink r:id="rId5" w:anchor="/document/1305770/entry/2111" w:history="1">
        <w:r>
          <w:rPr>
            <w:rFonts w:ascii="Times New Roman" w:eastAsia="Times New Roman" w:hAnsi="Times New Roman" w:cs="Times New Roman"/>
            <w:color w:val="0000EE"/>
            <w:sz w:val="26"/>
            <w:szCs w:val="26"/>
          </w:rPr>
          <w:t>разметкой 1.11</w:t>
        </w:r>
      </w:hyperlink>
      <w:r>
        <w:rPr>
          <w:rFonts w:ascii="Times New Roman" w:eastAsia="Times New Roman" w:hAnsi="Times New Roman" w:cs="Times New Roman"/>
          <w:sz w:val="26"/>
          <w:szCs w:val="26"/>
        </w:rPr>
        <w:t xml:space="preserve">, прерывистая </w:t>
      </w:r>
      <w:r>
        <w:rPr>
          <w:rFonts w:ascii="Times New Roman" w:eastAsia="Times New Roman" w:hAnsi="Times New Roman" w:cs="Times New Roman"/>
          <w:sz w:val="26"/>
          <w:szCs w:val="26"/>
        </w:rPr>
        <w:t>линия которой расположена слева (п.9.1.1 ПДД РФ)</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Приложению 2 к Правилам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Правительства РФ от 23 октября 1993 г. №1090</w:t>
      </w:r>
      <w:r>
        <w:rPr>
          <w:rFonts w:ascii="Times New Roman" w:eastAsia="Times New Roman" w:hAnsi="Times New Roman" w:cs="Times New Roman"/>
          <w:sz w:val="26"/>
          <w:szCs w:val="26"/>
        </w:rPr>
        <w:t xml:space="preserve"> «Дорожная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правонарушения, выразившегося в совершении обгона с пересечением дорожной разметки 1.1</w:t>
      </w:r>
      <w:r>
        <w:rPr>
          <w:rFonts w:ascii="Times New Roman" w:eastAsia="Times New Roman" w:hAnsi="Times New Roman" w:cs="Times New Roman"/>
          <w:sz w:val="26"/>
          <w:szCs w:val="26"/>
        </w:rPr>
        <w:t xml:space="preserve"> и 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75ЗК №050600 от 31.10.2023</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-схемой администр</w:t>
      </w:r>
      <w:r>
        <w:rPr>
          <w:rFonts w:ascii="Times New Roman" w:eastAsia="Times New Roman" w:hAnsi="Times New Roman" w:cs="Times New Roman"/>
          <w:sz w:val="26"/>
          <w:szCs w:val="26"/>
        </w:rPr>
        <w:t xml:space="preserve">ативного правонарушения от </w:t>
      </w:r>
      <w:r>
        <w:rPr>
          <w:rFonts w:ascii="Times New Roman" w:eastAsia="Times New Roman" w:hAnsi="Times New Roman" w:cs="Times New Roman"/>
          <w:sz w:val="26"/>
          <w:szCs w:val="26"/>
        </w:rPr>
        <w:t>31.10.2023</w:t>
      </w:r>
      <w:r>
        <w:rPr>
          <w:rFonts w:ascii="Times New Roman" w:eastAsia="Times New Roman" w:hAnsi="Times New Roman" w:cs="Times New Roman"/>
          <w:sz w:val="26"/>
          <w:szCs w:val="26"/>
        </w:rPr>
        <w:t xml:space="preserve">, составленной с участием </w:t>
      </w: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общего пользования федерального значения Р-404 «Тюмен</w:t>
      </w:r>
      <w:r>
        <w:rPr>
          <w:rFonts w:ascii="Times New Roman" w:eastAsia="Times New Roman" w:hAnsi="Times New Roman" w:cs="Times New Roman"/>
          <w:sz w:val="26"/>
          <w:szCs w:val="26"/>
        </w:rPr>
        <w:t xml:space="preserve">ь-Тобольск-Ханты-Мансийск </w:t>
      </w:r>
      <w:r>
        <w:rPr>
          <w:rFonts w:ascii="Times New Roman" w:eastAsia="Times New Roman" w:hAnsi="Times New Roman" w:cs="Times New Roman"/>
          <w:sz w:val="26"/>
          <w:szCs w:val="26"/>
        </w:rPr>
        <w:t>на участке км.731+642-км 846+757</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инспектора ГИБДД </w:t>
      </w:r>
      <w:r>
        <w:rPr>
          <w:rFonts w:ascii="Times New Roman" w:eastAsia="Times New Roman" w:hAnsi="Times New Roman" w:cs="Times New Roman"/>
          <w:sz w:val="26"/>
          <w:szCs w:val="26"/>
        </w:rPr>
        <w:t xml:space="preserve">УМВД России по ХМАО-Югре </w:t>
      </w:r>
      <w:r>
        <w:rPr>
          <w:rFonts w:ascii="Times New Roman" w:eastAsia="Times New Roman" w:hAnsi="Times New Roman" w:cs="Times New Roman"/>
          <w:sz w:val="26"/>
          <w:szCs w:val="26"/>
        </w:rPr>
        <w:t>Плесовских О.Ю.</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31</w:t>
      </w:r>
      <w:r>
        <w:rPr>
          <w:rFonts w:ascii="Times New Roman" w:eastAsia="Times New Roman" w:hAnsi="Times New Roman" w:cs="Times New Roman"/>
          <w:sz w:val="26"/>
          <w:szCs w:val="26"/>
        </w:rPr>
        <w:t>.10.2023</w:t>
      </w:r>
      <w:r>
        <w:rPr>
          <w:rFonts w:ascii="Times New Roman" w:eastAsia="Times New Roman" w:hAnsi="Times New Roman" w:cs="Times New Roman"/>
          <w:sz w:val="26"/>
          <w:szCs w:val="26"/>
        </w:rPr>
        <w:t xml:space="preserve"> по 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на </w:t>
      </w:r>
      <w:r>
        <w:rPr>
          <w:rFonts w:ascii="Times New Roman" w:eastAsia="Times New Roman" w:hAnsi="Times New Roman" w:cs="Times New Roman"/>
          <w:sz w:val="26"/>
          <w:szCs w:val="26"/>
        </w:rPr>
        <w:t>которой зафиксировано нарушение.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6"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Гребеля</w:t>
      </w:r>
      <w:r>
        <w:rPr>
          <w:rFonts w:ascii="Times New Roman" w:eastAsia="Times New Roman" w:hAnsi="Times New Roman" w:cs="Times New Roman"/>
          <w:sz w:val="26"/>
          <w:szCs w:val="26"/>
        </w:rPr>
        <w:t xml:space="preserve"> А.П.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Гребеля</w:t>
      </w:r>
      <w:r>
        <w:rPr>
          <w:rFonts w:ascii="Times New Roman" w:eastAsia="Times New Roman" w:hAnsi="Times New Roman" w:cs="Times New Roman"/>
          <w:b/>
          <w:bCs/>
          <w:sz w:val="26"/>
          <w:szCs w:val="26"/>
        </w:rPr>
        <w:t xml:space="preserve"> Андрея Петровича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5"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5"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5"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w:t>
      </w:r>
      <w:r>
        <w:rPr>
          <w:rFonts w:ascii="Times New Roman" w:eastAsia="Times New Roman" w:hAnsi="Times New Roman" w:cs="Times New Roman"/>
          <w:i/>
          <w:iCs/>
          <w:sz w:val="26"/>
          <w:szCs w:val="26"/>
        </w:rPr>
        <w:t>29</w:t>
      </w:r>
      <w:r>
        <w:rPr>
          <w:rFonts w:ascii="Times New Roman" w:eastAsia="Times New Roman" w:hAnsi="Times New Roman" w:cs="Times New Roman"/>
          <w:i/>
          <w:iCs/>
          <w:sz w:val="26"/>
          <w:szCs w:val="26"/>
        </w:rPr>
        <w:t>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116 011230 10001140 БИК 007162163</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УИН </w:t>
      </w:r>
      <w:r>
        <w:rPr>
          <w:rFonts w:ascii="Times New Roman" w:eastAsia="Times New Roman" w:hAnsi="Times New Roman" w:cs="Times New Roman"/>
          <w:i/>
          <w:iCs/>
          <w:sz w:val="26"/>
          <w:szCs w:val="26"/>
        </w:rPr>
        <w:t>188104862309100</w:t>
      </w:r>
      <w:r>
        <w:rPr>
          <w:rFonts w:ascii="Times New Roman" w:eastAsia="Times New Roman" w:hAnsi="Times New Roman" w:cs="Times New Roman"/>
          <w:i/>
          <w:iCs/>
          <w:sz w:val="26"/>
          <w:szCs w:val="26"/>
        </w:rPr>
        <w:t>20028</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Ю.Б.Миненко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5805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9rplc-8">
    <w:name w:val="cat-UserDefined grp-29 rplc-8"/>
    <w:basedOn w:val="DefaultParagraphFont"/>
  </w:style>
  <w:style w:type="character" w:customStyle="1" w:styleId="cat-UserDefinedgrp-30rplc-14">
    <w:name w:val="cat-UserDefined grp-30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1205770.1009"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F4D182D-3957-43D7-B423-563799294E9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